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62BB666E" w:rsidR="000205B8" w:rsidRPr="000205B8" w:rsidRDefault="00765BEB" w:rsidP="000205B8">
      <w:pPr>
        <w:pStyle w:val="TITREBLEU"/>
        <w:jc w:val="center"/>
        <w:rPr>
          <w:sz w:val="44"/>
          <w:szCs w:val="44"/>
        </w:rPr>
      </w:pPr>
      <w:r>
        <w:rPr>
          <w:sz w:val="44"/>
          <w:szCs w:val="44"/>
        </w:rPr>
        <w:t>Assistance de LAHO Formation – CCI hauts de France dans l’accompagnement des apprentis en situation d’handicap</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156B8139"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765BEB">
        <w:rPr>
          <w:rFonts w:asciiTheme="majorHAnsi" w:eastAsia="Calibri" w:hAnsiTheme="majorHAnsi" w:cstheme="majorHAnsi"/>
          <w:color w:val="auto"/>
          <w:sz w:val="28"/>
          <w:szCs w:val="28"/>
        </w:rPr>
        <w:t xml:space="preserve"> CCIR-FORM-2025-30</w:t>
      </w:r>
    </w:p>
    <w:p w14:paraId="340262D1" w14:textId="77777777" w:rsidR="00C00358" w:rsidRPr="000205B8" w:rsidRDefault="00C00358" w:rsidP="000205B8">
      <w:pPr>
        <w:spacing w:after="0"/>
        <w:jc w:val="center"/>
        <w:rPr>
          <w:rFonts w:asciiTheme="majorHAnsi" w:eastAsia="Calibri" w:hAnsiTheme="majorHAnsi" w:cstheme="majorHAnsi"/>
          <w:color w:val="auto"/>
          <w:sz w:val="20"/>
          <w:szCs w:val="20"/>
        </w:rPr>
      </w:pP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2083274" w14:textId="77777777" w:rsidR="00FE442E" w:rsidRPr="003E29C0" w:rsidRDefault="00FE442E" w:rsidP="00456A64">
      <w:pPr>
        <w:pStyle w:val="Sous-titrecyan"/>
        <w:rPr>
          <w:rFonts w:asciiTheme="majorHAnsi" w:hAnsiTheme="majorHAnsi" w:cstheme="majorHAnsi"/>
          <w:color w:val="auto"/>
          <w:sz w:val="20"/>
          <w:szCs w:val="20"/>
        </w:rPr>
      </w:pPr>
    </w:p>
    <w:p w14:paraId="7FF822FB" w14:textId="77777777" w:rsidR="003E29C0" w:rsidRPr="003E29C0" w:rsidRDefault="003E29C0" w:rsidP="003E29C0">
      <w:pPr>
        <w:spacing w:after="0" w:line="240" w:lineRule="auto"/>
        <w:rPr>
          <w:rFonts w:asciiTheme="majorHAnsi" w:hAnsiTheme="majorHAnsi" w:cstheme="majorHAnsi"/>
          <w:bCs/>
          <w:caps/>
          <w:color w:val="auto"/>
          <w:sz w:val="20"/>
          <w:szCs w:val="20"/>
        </w:rPr>
      </w:pP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lastRenderedPageBreak/>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659AB5E3" w14:textId="48EC2F16" w:rsidR="003E29C0" w:rsidRDefault="003E29C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sidR="00B94DD0">
        <w:rPr>
          <w:rStyle w:val="SOUSTITREBLEU"/>
          <w:rFonts w:asciiTheme="majorHAnsi" w:hAnsiTheme="majorHAnsi" w:cstheme="majorHAnsi"/>
          <w:color w:val="auto"/>
          <w:sz w:val="20"/>
          <w:szCs w:val="20"/>
        </w:rPr>
        <w:t xml:space="preserve"> l’assistance de LAHO Formation – CCI Hauts-de-France pour accompagner son offre de service pour l’accompagnement des apprentis en situation de handicap. </w:t>
      </w:r>
    </w:p>
    <w:p w14:paraId="44168C07" w14:textId="0E701A5F" w:rsidR="00B94DD0" w:rsidRDefault="00B94DD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7407C8EE" w14:textId="34EBDF6D" w:rsidR="00B94DD0" w:rsidRDefault="00B94DD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Les caractéristiques techniques composant la présente consultation sont fixées par le CCTP. </w:t>
      </w:r>
    </w:p>
    <w:p w14:paraId="58CF23A8" w14:textId="77777777" w:rsidR="00B94DD0" w:rsidRDefault="00B94DD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6144E6B7" w14:textId="2595A961" w:rsidR="00B94DD0" w:rsidRDefault="00B94DD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Les lieux d’exécution des prestations sont les suivants : </w:t>
      </w:r>
    </w:p>
    <w:p w14:paraId="16AEB5FB" w14:textId="77777777" w:rsidR="00B94DD0" w:rsidRDefault="00B94DD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4E19A407" w14:textId="55CC16EF" w:rsidR="00B94DD0" w:rsidRDefault="00B94DD0" w:rsidP="00B94DD0">
      <w:pPr>
        <w:pStyle w:val="Paragraphedeliste"/>
        <w:numPr>
          <w:ilvl w:val="0"/>
          <w:numId w:val="3"/>
        </w:num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LAHO Littoral Audomarois : Boulogne sur Mer, Leulinghem et Saint-Omer</w:t>
      </w:r>
    </w:p>
    <w:p w14:paraId="2B17D613" w14:textId="7B7414D3" w:rsidR="00B94DD0" w:rsidRDefault="00B94DD0" w:rsidP="00B94DD0">
      <w:pPr>
        <w:pStyle w:val="Paragraphedeliste"/>
        <w:numPr>
          <w:ilvl w:val="0"/>
          <w:numId w:val="3"/>
        </w:num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LAHO Aisne : Laon</w:t>
      </w:r>
    </w:p>
    <w:p w14:paraId="25A509FB" w14:textId="3819B59F" w:rsidR="00B94DD0" w:rsidRDefault="00B94DD0" w:rsidP="00B94DD0">
      <w:pPr>
        <w:pStyle w:val="Paragraphedeliste"/>
        <w:numPr>
          <w:ilvl w:val="0"/>
          <w:numId w:val="3"/>
        </w:num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LAHO Oise : Beauvais et Nogent sur Oise</w:t>
      </w:r>
    </w:p>
    <w:p w14:paraId="7ADAFCC7" w14:textId="416D233C" w:rsidR="00B94DD0" w:rsidRDefault="00B94DD0" w:rsidP="00B94DD0">
      <w:pPr>
        <w:pStyle w:val="Paragraphedeliste"/>
        <w:numPr>
          <w:ilvl w:val="0"/>
          <w:numId w:val="3"/>
        </w:num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LAHO Grand Hainaut : Aulnoy les Valenciennes</w:t>
      </w:r>
    </w:p>
    <w:p w14:paraId="3E71B5CB" w14:textId="482A078D" w:rsidR="00B94DD0" w:rsidRDefault="00B94DD0" w:rsidP="00B94DD0">
      <w:pPr>
        <w:pStyle w:val="Paragraphedeliste"/>
        <w:numPr>
          <w:ilvl w:val="0"/>
          <w:numId w:val="3"/>
        </w:num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LAHO Métropole Lilloise : Roubaix</w:t>
      </w:r>
    </w:p>
    <w:p w14:paraId="6DCAC357" w14:textId="1A0DBE5B" w:rsidR="00B94DD0" w:rsidRPr="00B94DD0" w:rsidRDefault="00B94DD0" w:rsidP="00B94DD0">
      <w:pPr>
        <w:pStyle w:val="Paragraphedeliste"/>
        <w:numPr>
          <w:ilvl w:val="0"/>
          <w:numId w:val="3"/>
        </w:num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LAHO Artois-Douaisis : Lens</w:t>
      </w:r>
    </w:p>
    <w:p w14:paraId="7B40B5B4" w14:textId="77777777" w:rsidR="003E29C0" w:rsidRPr="00A71257" w:rsidRDefault="003E29C0" w:rsidP="00D74033">
      <w:pPr>
        <w:spacing w:after="0"/>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7E9DE47F" w14:textId="77777777" w:rsidR="003E29C0" w:rsidRDefault="003E29C0" w:rsidP="00D74033">
      <w:pPr>
        <w:pStyle w:val="EM2007-Normaljustifi"/>
        <w:rPr>
          <w:color w:val="auto"/>
        </w:rPr>
      </w:pPr>
    </w:p>
    <w:p w14:paraId="25C82D1D" w14:textId="77777777" w:rsidR="00A71257" w:rsidRPr="00A71257" w:rsidRDefault="00A71257" w:rsidP="00D74033">
      <w:pPr>
        <w:pStyle w:val="EM2007-Normaljustifi"/>
        <w:rPr>
          <w:color w:val="auto"/>
        </w:rPr>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74833D4E"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w:t>
      </w:r>
      <w:proofErr w:type="spellStart"/>
      <w:r w:rsidRPr="00A71257">
        <w:rPr>
          <w:rFonts w:cstheme="minorHAnsi"/>
          <w:color w:val="auto"/>
          <w:sz w:val="20"/>
          <w:szCs w:val="20"/>
        </w:rPr>
        <w:t>initative</w:t>
      </w:r>
      <w:proofErr w:type="spellEnd"/>
      <w:r w:rsidRPr="00A71257">
        <w:rPr>
          <w:rFonts w:cstheme="minorHAnsi"/>
          <w:color w:val="auto"/>
          <w:sz w:val="20"/>
          <w:szCs w:val="20"/>
        </w:rPr>
        <w:t xml:space="preserve"> du candidat ne sont pas autorisées</w:t>
      </w:r>
      <w:r w:rsidR="00512D7D">
        <w:rPr>
          <w:rFonts w:cstheme="minorHAnsi"/>
          <w:color w:val="auto"/>
          <w:sz w:val="20"/>
          <w:szCs w:val="20"/>
        </w:rPr>
        <w:t>.</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25788A64" w14:textId="593988EA" w:rsidR="00512D7D" w:rsidRDefault="00512D7D" w:rsidP="00D74033">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Conformément aux dispositions de l’article R2123-</w:t>
      </w:r>
      <w:proofErr w:type="gramStart"/>
      <w:r>
        <w:rPr>
          <w:rFonts w:asciiTheme="majorHAnsi" w:hAnsiTheme="majorHAnsi" w:cstheme="majorHAnsi"/>
          <w:color w:val="auto"/>
          <w:sz w:val="20"/>
          <w:szCs w:val="20"/>
        </w:rPr>
        <w:t>3  du</w:t>
      </w:r>
      <w:proofErr w:type="gramEnd"/>
      <w:r>
        <w:rPr>
          <w:rFonts w:asciiTheme="majorHAnsi" w:hAnsiTheme="majorHAnsi" w:cstheme="majorHAnsi"/>
          <w:color w:val="auto"/>
          <w:sz w:val="20"/>
          <w:szCs w:val="20"/>
        </w:rPr>
        <w:t xml:space="preserve"> code de la commande publique, le marché donnera lieu à un lot unique ; </w:t>
      </w:r>
    </w:p>
    <w:p w14:paraId="7180C912" w14:textId="77777777" w:rsidR="00512D7D" w:rsidRDefault="00512D7D" w:rsidP="00D74033">
      <w:pPr>
        <w:spacing w:after="0"/>
        <w:jc w:val="both"/>
        <w:rPr>
          <w:rFonts w:asciiTheme="majorHAnsi" w:hAnsiTheme="majorHAnsi" w:cstheme="majorHAnsi"/>
          <w:color w:val="auto"/>
          <w:sz w:val="20"/>
          <w:szCs w:val="20"/>
        </w:rPr>
      </w:pPr>
    </w:p>
    <w:p w14:paraId="06C0FCE2" w14:textId="3E269DFA" w:rsidR="003E29C0" w:rsidRDefault="00512D7D" w:rsidP="00D74033">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La forme contractuelle retenue pour l’exécution contractuelle est la suivante : </w:t>
      </w:r>
    </w:p>
    <w:p w14:paraId="64794639" w14:textId="4E8F7EA8" w:rsidR="00512D7D" w:rsidRPr="001849B3" w:rsidRDefault="001849B3" w:rsidP="001849B3">
      <w:pPr>
        <w:pStyle w:val="Paragraphedeliste"/>
        <w:numPr>
          <w:ilvl w:val="0"/>
          <w:numId w:val="3"/>
        </w:numPr>
        <w:spacing w:after="0"/>
        <w:jc w:val="both"/>
        <w:rPr>
          <w:rFonts w:asciiTheme="majorHAnsi" w:hAnsiTheme="majorHAnsi" w:cstheme="majorHAnsi"/>
          <w:color w:val="auto"/>
          <w:sz w:val="20"/>
          <w:szCs w:val="20"/>
        </w:rPr>
      </w:pPr>
      <w:r w:rsidRPr="001849B3">
        <w:rPr>
          <w:rFonts w:asciiTheme="majorHAnsi" w:hAnsiTheme="majorHAnsi" w:cstheme="majorHAnsi"/>
          <w:color w:val="auto"/>
          <w:sz w:val="20"/>
          <w:szCs w:val="20"/>
        </w:rPr>
        <w:lastRenderedPageBreak/>
        <w:t xml:space="preserve">Marché ordinaire, à prix global et forfaitaire, pour les prestations </w:t>
      </w:r>
      <w:r w:rsidR="00046E54">
        <w:rPr>
          <w:rFonts w:asciiTheme="majorHAnsi" w:hAnsiTheme="majorHAnsi" w:cstheme="majorHAnsi"/>
          <w:color w:val="auto"/>
          <w:sz w:val="20"/>
          <w:szCs w:val="20"/>
        </w:rPr>
        <w:t>récurrentes</w:t>
      </w:r>
      <w:r w:rsidRPr="001849B3">
        <w:rPr>
          <w:rFonts w:asciiTheme="majorHAnsi" w:hAnsiTheme="majorHAnsi" w:cstheme="majorHAnsi"/>
          <w:color w:val="auto"/>
          <w:sz w:val="20"/>
          <w:szCs w:val="20"/>
        </w:rPr>
        <w:t xml:space="preserve">, </w:t>
      </w:r>
    </w:p>
    <w:p w14:paraId="2E84F110" w14:textId="799D418A" w:rsidR="001849B3" w:rsidRPr="001849B3" w:rsidRDefault="001849B3" w:rsidP="001849B3">
      <w:pPr>
        <w:pStyle w:val="Paragraphedeliste"/>
        <w:numPr>
          <w:ilvl w:val="0"/>
          <w:numId w:val="3"/>
        </w:numPr>
        <w:spacing w:after="0"/>
        <w:jc w:val="both"/>
        <w:rPr>
          <w:rFonts w:asciiTheme="majorHAnsi" w:hAnsiTheme="majorHAnsi" w:cstheme="majorHAnsi"/>
          <w:color w:val="auto"/>
          <w:sz w:val="20"/>
          <w:szCs w:val="20"/>
        </w:rPr>
      </w:pPr>
      <w:r w:rsidRPr="001849B3">
        <w:rPr>
          <w:rFonts w:asciiTheme="majorHAnsi" w:hAnsiTheme="majorHAnsi" w:cstheme="majorHAnsi"/>
          <w:color w:val="auto"/>
          <w:sz w:val="20"/>
          <w:szCs w:val="20"/>
        </w:rPr>
        <w:t xml:space="preserve">Accord-cadre mono-attributaire donnant lieu à l’émission de bons de commande conformément aux dispositions de l’article R2162-2 du Code de la commande publique pour tout besoin complémentaire. </w:t>
      </w:r>
    </w:p>
    <w:p w14:paraId="34B21B1B" w14:textId="77777777" w:rsidR="003E29C0" w:rsidRPr="00A71257" w:rsidRDefault="003E29C0"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68E918CC" w14:textId="77777777" w:rsidR="003E29C0" w:rsidRDefault="003E29C0" w:rsidP="003E29C0">
      <w:pPr>
        <w:spacing w:after="0" w:line="240" w:lineRule="auto"/>
        <w:rPr>
          <w:rStyle w:val="lev"/>
          <w:rFonts w:asciiTheme="majorHAnsi" w:eastAsia="Times New Roman" w:hAnsiTheme="majorHAnsi" w:cstheme="majorHAnsi"/>
          <w:color w:val="auto"/>
          <w:sz w:val="20"/>
          <w:szCs w:val="20"/>
        </w:rPr>
      </w:pPr>
    </w:p>
    <w:p w14:paraId="081E07D6" w14:textId="4F1ADFD5" w:rsidR="001849B3" w:rsidRPr="001F3E18" w:rsidRDefault="001849B3" w:rsidP="003E29C0">
      <w:pPr>
        <w:spacing w:after="0" w:line="240" w:lineRule="auto"/>
        <w:rPr>
          <w:b/>
          <w:color w:val="00B0F0"/>
          <w:sz w:val="24"/>
          <w:szCs w:val="24"/>
        </w:rPr>
      </w:pPr>
      <w:r w:rsidRPr="001F3E18">
        <w:rPr>
          <w:b/>
          <w:color w:val="00B0F0"/>
          <w:sz w:val="24"/>
          <w:szCs w:val="24"/>
        </w:rPr>
        <w:t>4.1. Durée du contrat</w:t>
      </w:r>
    </w:p>
    <w:p w14:paraId="73054181" w14:textId="77777777" w:rsidR="001849B3" w:rsidRDefault="001849B3" w:rsidP="003E29C0">
      <w:pPr>
        <w:spacing w:after="0" w:line="240" w:lineRule="auto"/>
        <w:rPr>
          <w:rStyle w:val="lev"/>
          <w:rFonts w:asciiTheme="majorHAnsi" w:eastAsia="Times New Roman" w:hAnsiTheme="majorHAnsi" w:cstheme="majorHAnsi"/>
          <w:color w:val="auto"/>
          <w:sz w:val="20"/>
          <w:szCs w:val="20"/>
        </w:rPr>
      </w:pPr>
    </w:p>
    <w:p w14:paraId="5400F964" w14:textId="77777777" w:rsidR="001849B3" w:rsidRPr="001849B3" w:rsidRDefault="001849B3" w:rsidP="001849B3">
      <w:pPr>
        <w:spacing w:after="120"/>
        <w:jc w:val="both"/>
        <w:rPr>
          <w:rFonts w:asciiTheme="majorHAnsi" w:hAnsiTheme="majorHAnsi" w:cstheme="majorHAnsi"/>
          <w:color w:val="auto"/>
          <w:sz w:val="20"/>
          <w:szCs w:val="20"/>
        </w:rPr>
      </w:pPr>
      <w:bookmarkStart w:id="13" w:name="_Hlk164351317"/>
      <w:r w:rsidRPr="001849B3">
        <w:rPr>
          <w:rFonts w:asciiTheme="majorHAnsi" w:hAnsiTheme="majorHAnsi" w:cstheme="majorHAnsi"/>
          <w:color w:val="auto"/>
          <w:sz w:val="20"/>
          <w:szCs w:val="20"/>
        </w:rPr>
        <w:t>Le contrat est conclu pour une durée de douze (12) mois consécutifs à compter de sa notification</w:t>
      </w:r>
      <w:bookmarkEnd w:id="13"/>
      <w:r w:rsidRPr="001849B3">
        <w:rPr>
          <w:rFonts w:asciiTheme="majorHAnsi" w:hAnsiTheme="majorHAnsi" w:cstheme="majorHAnsi"/>
          <w:color w:val="auto"/>
          <w:sz w:val="20"/>
          <w:szCs w:val="20"/>
        </w:rPr>
        <w:t xml:space="preserve"> </w:t>
      </w:r>
    </w:p>
    <w:p w14:paraId="446C622C" w14:textId="77777777" w:rsidR="001849B3" w:rsidRPr="001849B3" w:rsidRDefault="001849B3" w:rsidP="001849B3">
      <w:pPr>
        <w:spacing w:after="120"/>
        <w:jc w:val="both"/>
        <w:rPr>
          <w:rFonts w:asciiTheme="majorHAnsi" w:hAnsiTheme="majorHAnsi" w:cstheme="majorHAnsi"/>
          <w:color w:val="auto"/>
          <w:sz w:val="20"/>
          <w:szCs w:val="20"/>
        </w:rPr>
      </w:pPr>
      <w:r w:rsidRPr="001849B3">
        <w:rPr>
          <w:rFonts w:asciiTheme="majorHAnsi" w:hAnsiTheme="majorHAnsi" w:cstheme="majorHAnsi"/>
          <w:color w:val="auto"/>
          <w:sz w:val="20"/>
          <w:szCs w:val="20"/>
        </w:rPr>
        <w:t xml:space="preserve">Le contrat est reconductible trois (3) fois maximum de manière tacite pour une période de douze (12) mois, soit une durée globale de quarante-huit (48) mois maximum. </w:t>
      </w:r>
    </w:p>
    <w:p w14:paraId="0CFEFA98" w14:textId="77777777" w:rsidR="001849B3" w:rsidRPr="001849B3" w:rsidRDefault="001849B3" w:rsidP="001849B3">
      <w:pPr>
        <w:spacing w:after="120"/>
        <w:jc w:val="both"/>
        <w:rPr>
          <w:rFonts w:asciiTheme="majorHAnsi" w:hAnsiTheme="majorHAnsi" w:cstheme="majorHAnsi"/>
          <w:color w:val="auto"/>
          <w:sz w:val="20"/>
          <w:szCs w:val="20"/>
        </w:rPr>
      </w:pPr>
      <w:r w:rsidRPr="001849B3">
        <w:rPr>
          <w:rFonts w:asciiTheme="majorHAnsi" w:hAnsiTheme="majorHAnsi" w:cstheme="majorHAnsi"/>
          <w:color w:val="auto"/>
          <w:sz w:val="20"/>
          <w:szCs w:val="20"/>
        </w:rPr>
        <w:t xml:space="preserve">En cas de non-reconduction, le titulaire se verra notifier une décision par voie expresse au minimum 2 mois avant la date anniversaire du contrat. Le titulaire ne peut pas refuser la reconduction.  </w:t>
      </w:r>
    </w:p>
    <w:p w14:paraId="2CE04D12" w14:textId="77777777" w:rsidR="001849B3" w:rsidRPr="001849B3" w:rsidRDefault="001849B3" w:rsidP="001849B3">
      <w:pPr>
        <w:jc w:val="both"/>
        <w:rPr>
          <w:rFonts w:asciiTheme="majorHAnsi" w:hAnsiTheme="majorHAnsi" w:cstheme="majorHAnsi"/>
          <w:color w:val="auto"/>
          <w:sz w:val="20"/>
          <w:szCs w:val="20"/>
        </w:rPr>
      </w:pPr>
      <w:r w:rsidRPr="001849B3">
        <w:rPr>
          <w:rFonts w:asciiTheme="majorHAnsi" w:hAnsiTheme="majorHAnsi" w:cstheme="majorHAnsi"/>
          <w:color w:val="auto"/>
          <w:sz w:val="20"/>
          <w:szCs w:val="20"/>
        </w:rPr>
        <w:t xml:space="preserve">La reconduction intervient : </w:t>
      </w:r>
    </w:p>
    <w:p w14:paraId="33F979B1" w14:textId="77777777" w:rsidR="001849B3" w:rsidRPr="001849B3" w:rsidRDefault="001849B3" w:rsidP="001849B3">
      <w:pPr>
        <w:pStyle w:val="Paragraphedeliste"/>
        <w:numPr>
          <w:ilvl w:val="0"/>
          <w:numId w:val="4"/>
        </w:numPr>
        <w:jc w:val="both"/>
        <w:rPr>
          <w:rFonts w:asciiTheme="majorHAnsi" w:hAnsiTheme="majorHAnsi" w:cstheme="majorHAnsi"/>
          <w:color w:val="auto"/>
          <w:sz w:val="20"/>
          <w:szCs w:val="20"/>
        </w:rPr>
      </w:pPr>
      <w:r w:rsidRPr="001849B3">
        <w:rPr>
          <w:rFonts w:asciiTheme="majorHAnsi" w:hAnsiTheme="majorHAnsi" w:cstheme="majorHAnsi"/>
          <w:color w:val="auto"/>
          <w:sz w:val="20"/>
          <w:szCs w:val="20"/>
        </w:rPr>
        <w:t>Au plus tôt à compter de la date de notification du bon de commande qui provoque le dépassement du montant maximum périodique</w:t>
      </w:r>
    </w:p>
    <w:p w14:paraId="04BE4017" w14:textId="77777777" w:rsidR="001849B3" w:rsidRPr="001849B3" w:rsidRDefault="001849B3" w:rsidP="001849B3">
      <w:pPr>
        <w:pStyle w:val="Paragraphedeliste"/>
        <w:numPr>
          <w:ilvl w:val="0"/>
          <w:numId w:val="4"/>
        </w:numPr>
        <w:jc w:val="both"/>
        <w:rPr>
          <w:rFonts w:asciiTheme="majorHAnsi" w:hAnsiTheme="majorHAnsi" w:cstheme="majorHAnsi"/>
          <w:color w:val="auto"/>
          <w:sz w:val="20"/>
          <w:szCs w:val="20"/>
        </w:rPr>
      </w:pPr>
      <w:r w:rsidRPr="001849B3">
        <w:rPr>
          <w:rFonts w:asciiTheme="majorHAnsi" w:hAnsiTheme="majorHAnsi" w:cstheme="majorHAnsi"/>
          <w:color w:val="auto"/>
          <w:sz w:val="20"/>
          <w:szCs w:val="20"/>
        </w:rPr>
        <w:t>Au plus tard au terme d’un délai d’un an à compter de la date de notification du marché</w:t>
      </w:r>
    </w:p>
    <w:p w14:paraId="11AD5C18" w14:textId="77777777" w:rsidR="001849B3" w:rsidRPr="001849B3" w:rsidRDefault="001849B3" w:rsidP="001849B3">
      <w:pPr>
        <w:spacing w:after="0" w:line="240" w:lineRule="auto"/>
        <w:jc w:val="both"/>
        <w:rPr>
          <w:rFonts w:asciiTheme="majorHAnsi" w:hAnsiTheme="majorHAnsi" w:cstheme="majorHAnsi"/>
          <w:color w:val="auto"/>
          <w:sz w:val="20"/>
          <w:szCs w:val="20"/>
        </w:rPr>
      </w:pPr>
      <w:r w:rsidRPr="001849B3">
        <w:rPr>
          <w:rFonts w:asciiTheme="majorHAnsi" w:hAnsiTheme="majorHAnsi" w:cstheme="majorHAnsi"/>
          <w:color w:val="auto"/>
          <w:sz w:val="20"/>
          <w:szCs w:val="20"/>
        </w:rPr>
        <w:t>Si le montant maximum est atteint avant la date anniversaire du renouvellement de l'accord-cadre, la périodicité suivante pourra débuter par anticipation à une date convenue entre les 2 parties par le biais d'une modification.</w:t>
      </w:r>
      <w:r w:rsidRPr="001849B3">
        <w:rPr>
          <w:rFonts w:asciiTheme="majorHAnsi" w:hAnsiTheme="majorHAnsi" w:cstheme="majorHAnsi"/>
          <w:color w:val="auto"/>
          <w:sz w:val="20"/>
          <w:szCs w:val="20"/>
        </w:rPr>
        <w:br/>
        <w:t xml:space="preserve">Si le montant maximum de la dernière périodicité est atteint avant le terme du marché, le marché prend fin de plein droit. </w:t>
      </w:r>
    </w:p>
    <w:p w14:paraId="42B2BEDD" w14:textId="77777777" w:rsidR="001849B3" w:rsidRPr="001849B3" w:rsidRDefault="001849B3" w:rsidP="001849B3">
      <w:pPr>
        <w:spacing w:after="0" w:line="240" w:lineRule="auto"/>
        <w:jc w:val="both"/>
        <w:rPr>
          <w:rFonts w:asciiTheme="majorHAnsi" w:hAnsiTheme="majorHAnsi" w:cstheme="majorHAnsi"/>
          <w:color w:val="auto"/>
          <w:sz w:val="20"/>
          <w:szCs w:val="20"/>
        </w:rPr>
      </w:pPr>
    </w:p>
    <w:p w14:paraId="5E50FC53" w14:textId="77777777" w:rsidR="001849B3" w:rsidRPr="001849B3" w:rsidRDefault="001849B3" w:rsidP="001849B3">
      <w:pPr>
        <w:spacing w:after="120"/>
        <w:jc w:val="both"/>
        <w:rPr>
          <w:rFonts w:asciiTheme="majorHAnsi" w:hAnsiTheme="majorHAnsi" w:cstheme="majorHAnsi"/>
          <w:color w:val="auto"/>
          <w:sz w:val="20"/>
          <w:szCs w:val="20"/>
        </w:rPr>
      </w:pPr>
      <w:bookmarkStart w:id="14" w:name="_Hlk164351396"/>
      <w:r w:rsidRPr="001849B3">
        <w:rPr>
          <w:rFonts w:asciiTheme="majorHAnsi" w:hAnsiTheme="majorHAnsi" w:cstheme="majorHAnsi"/>
          <w:color w:val="auto"/>
          <w:sz w:val="20"/>
          <w:szCs w:val="20"/>
        </w:rPr>
        <w:t>Les bons de commande ne peuvent être émis que pendant la durée du marché public.</w:t>
      </w:r>
    </w:p>
    <w:bookmarkEnd w:id="14"/>
    <w:p w14:paraId="0F2D71EB" w14:textId="6B3DAFDE" w:rsidR="001849B3" w:rsidRPr="001849B3" w:rsidRDefault="001849B3" w:rsidP="003E29C0">
      <w:pPr>
        <w:spacing w:after="0" w:line="240" w:lineRule="auto"/>
        <w:rPr>
          <w:b/>
          <w:color w:val="00B0F0"/>
          <w:sz w:val="24"/>
          <w:szCs w:val="24"/>
        </w:rPr>
      </w:pPr>
      <w:r w:rsidRPr="001849B3">
        <w:rPr>
          <w:b/>
          <w:color w:val="00B0F0"/>
          <w:sz w:val="24"/>
          <w:szCs w:val="24"/>
        </w:rPr>
        <w:t>4.2. Délais</w:t>
      </w:r>
    </w:p>
    <w:p w14:paraId="25D86D69" w14:textId="77777777" w:rsidR="001849B3" w:rsidRDefault="001849B3" w:rsidP="003E29C0">
      <w:pPr>
        <w:spacing w:after="0" w:line="240" w:lineRule="auto"/>
        <w:rPr>
          <w:rStyle w:val="lev"/>
          <w:rFonts w:asciiTheme="majorHAnsi" w:eastAsia="Times New Roman" w:hAnsiTheme="majorHAnsi" w:cstheme="majorHAnsi"/>
          <w:color w:val="auto"/>
          <w:sz w:val="20"/>
          <w:szCs w:val="20"/>
        </w:rPr>
      </w:pPr>
    </w:p>
    <w:p w14:paraId="583AD567" w14:textId="77777777" w:rsidR="00B564D2" w:rsidRDefault="00B564D2" w:rsidP="00B564D2">
      <w:pPr>
        <w:pStyle w:val="Sous-titrecyan"/>
        <w:jc w:val="both"/>
        <w:rPr>
          <w:rFonts w:asciiTheme="minorHAnsi" w:eastAsiaTheme="minorHAnsi" w:hAnsiTheme="minorHAnsi" w:cstheme="minorBidi"/>
          <w:color w:val="262626" w:themeColor="text1" w:themeShade="80"/>
          <w:sz w:val="20"/>
          <w:szCs w:val="20"/>
        </w:rPr>
      </w:pPr>
      <w:bookmarkStart w:id="15" w:name="_Hlk164351423"/>
      <w:r w:rsidRPr="00101C71">
        <w:rPr>
          <w:rFonts w:asciiTheme="minorHAnsi" w:eastAsiaTheme="minorHAnsi" w:hAnsiTheme="minorHAnsi" w:cstheme="minorBidi"/>
          <w:b/>
          <w:bCs/>
          <w:color w:val="262626" w:themeColor="text1" w:themeShade="80"/>
          <w:sz w:val="20"/>
          <w:szCs w:val="20"/>
          <w:u w:val="single"/>
        </w:rPr>
        <w:t>Pour les prestations donnant lieu à prix forfaitaires</w:t>
      </w:r>
      <w:r>
        <w:rPr>
          <w:rFonts w:asciiTheme="minorHAnsi" w:eastAsiaTheme="minorHAnsi" w:hAnsiTheme="minorHAnsi" w:cstheme="minorBidi"/>
          <w:color w:val="262626" w:themeColor="text1" w:themeShade="80"/>
          <w:sz w:val="20"/>
          <w:szCs w:val="20"/>
        </w:rPr>
        <w:t xml:space="preserve">, l’exécution des prestations démarrera à compter de la date de notification du contrat selon le planning prévisionnel établi par le titulaire conformément aux dispositions du CCTP et mis au point avec LAHO Formation lors de la réunion de lancement. </w:t>
      </w:r>
    </w:p>
    <w:p w14:paraId="6419BAF7" w14:textId="77777777" w:rsidR="00B564D2" w:rsidRDefault="00B564D2" w:rsidP="00B564D2">
      <w:pPr>
        <w:pStyle w:val="Sous-titrecyan"/>
        <w:jc w:val="both"/>
        <w:rPr>
          <w:rFonts w:asciiTheme="minorHAnsi" w:eastAsiaTheme="minorHAnsi" w:hAnsiTheme="minorHAnsi" w:cstheme="minorBidi"/>
          <w:color w:val="262626" w:themeColor="text1" w:themeShade="80"/>
          <w:sz w:val="20"/>
          <w:szCs w:val="20"/>
        </w:rPr>
      </w:pPr>
    </w:p>
    <w:p w14:paraId="4A267ACF" w14:textId="77777777" w:rsidR="00B564D2" w:rsidRDefault="00B564D2" w:rsidP="00B564D2">
      <w:pPr>
        <w:pStyle w:val="Sous-titrecyan"/>
        <w:jc w:val="both"/>
        <w:rPr>
          <w:rFonts w:asciiTheme="minorHAnsi" w:eastAsiaTheme="minorHAnsi" w:hAnsiTheme="minorHAnsi" w:cstheme="minorBidi"/>
          <w:color w:val="262626" w:themeColor="text1" w:themeShade="80"/>
          <w:sz w:val="20"/>
          <w:szCs w:val="20"/>
        </w:rPr>
      </w:pPr>
      <w:r w:rsidRPr="005106C0">
        <w:rPr>
          <w:rFonts w:asciiTheme="minorHAnsi" w:eastAsiaTheme="minorHAnsi" w:hAnsiTheme="minorHAnsi" w:cstheme="minorBidi"/>
          <w:b/>
          <w:bCs/>
          <w:color w:val="262626" w:themeColor="text1" w:themeShade="80"/>
          <w:sz w:val="20"/>
          <w:szCs w:val="20"/>
          <w:u w:val="single"/>
        </w:rPr>
        <w:t>Pour les prestations donnant lieu à bons de commandes</w:t>
      </w:r>
      <w:r>
        <w:rPr>
          <w:rFonts w:asciiTheme="minorHAnsi" w:eastAsiaTheme="minorHAnsi" w:hAnsiTheme="minorHAnsi" w:cstheme="minorBidi"/>
          <w:color w:val="262626" w:themeColor="text1" w:themeShade="80"/>
          <w:sz w:val="20"/>
          <w:szCs w:val="20"/>
        </w:rPr>
        <w:t xml:space="preserve"> : </w:t>
      </w:r>
    </w:p>
    <w:p w14:paraId="41423250" w14:textId="77777777" w:rsidR="00B564D2" w:rsidRDefault="00B564D2" w:rsidP="00B564D2">
      <w:pPr>
        <w:pStyle w:val="Sous-titrecyan"/>
        <w:jc w:val="both"/>
        <w:rPr>
          <w:rFonts w:asciiTheme="minorHAnsi" w:eastAsiaTheme="minorHAnsi" w:hAnsiTheme="minorHAnsi" w:cstheme="minorBidi"/>
          <w:color w:val="262626" w:themeColor="text1" w:themeShade="80"/>
          <w:sz w:val="20"/>
          <w:szCs w:val="20"/>
        </w:rPr>
      </w:pPr>
    </w:p>
    <w:p w14:paraId="2390FC1C" w14:textId="77777777" w:rsidR="00B564D2" w:rsidRPr="009F117A" w:rsidRDefault="00B564D2" w:rsidP="00B564D2">
      <w:pPr>
        <w:pStyle w:val="Sous-titrecyan"/>
        <w:jc w:val="both"/>
        <w:rPr>
          <w:rFonts w:asciiTheme="minorHAnsi" w:eastAsiaTheme="minorHAnsi" w:hAnsiTheme="minorHAnsi" w:cstheme="minorBidi"/>
          <w:color w:val="262626" w:themeColor="text1" w:themeShade="80"/>
          <w:sz w:val="20"/>
          <w:szCs w:val="20"/>
        </w:rPr>
      </w:pPr>
      <w:r w:rsidRPr="009F117A">
        <w:rPr>
          <w:rFonts w:asciiTheme="minorHAnsi" w:eastAsiaTheme="minorHAnsi" w:hAnsiTheme="minorHAnsi" w:cstheme="minorBidi"/>
          <w:color w:val="262626" w:themeColor="text1" w:themeShade="80"/>
          <w:sz w:val="20"/>
          <w:szCs w:val="20"/>
        </w:rPr>
        <w:t xml:space="preserve">La durée maximale d’exécution des bons de commande est fixée à </w:t>
      </w:r>
      <w:r>
        <w:rPr>
          <w:rFonts w:asciiTheme="minorHAnsi" w:eastAsiaTheme="minorHAnsi" w:hAnsiTheme="minorHAnsi" w:cstheme="minorBidi"/>
          <w:color w:val="262626" w:themeColor="text1" w:themeShade="80"/>
          <w:sz w:val="20"/>
          <w:szCs w:val="20"/>
        </w:rPr>
        <w:t>douze (12)</w:t>
      </w:r>
      <w:r w:rsidRPr="009F117A">
        <w:rPr>
          <w:rFonts w:asciiTheme="minorHAnsi" w:eastAsiaTheme="minorHAnsi" w:hAnsiTheme="minorHAnsi" w:cstheme="minorBidi"/>
          <w:color w:val="262626" w:themeColor="text1" w:themeShade="80"/>
          <w:sz w:val="20"/>
          <w:szCs w:val="20"/>
        </w:rPr>
        <w:t xml:space="preserve"> mois. Les délais d’exécution des bons de commande sont </w:t>
      </w:r>
      <w:r w:rsidRPr="00887AA3">
        <w:rPr>
          <w:rFonts w:asciiTheme="minorHAnsi" w:eastAsiaTheme="minorHAnsi" w:hAnsiTheme="minorHAnsi" w:cstheme="minorBidi"/>
          <w:color w:val="262626" w:themeColor="text1" w:themeShade="80"/>
          <w:sz w:val="20"/>
          <w:szCs w:val="20"/>
        </w:rPr>
        <w:t xml:space="preserve">fixés </w:t>
      </w:r>
      <w:bookmarkEnd w:id="15"/>
      <w:r w:rsidRPr="00887AA3">
        <w:rPr>
          <w:rFonts w:asciiTheme="minorHAnsi" w:eastAsiaTheme="minorHAnsi" w:hAnsiTheme="minorHAnsi" w:cstheme="minorBidi"/>
          <w:color w:val="262626" w:themeColor="text1" w:themeShade="80"/>
          <w:sz w:val="20"/>
          <w:szCs w:val="20"/>
        </w:rPr>
        <w:t>dans chaque bon de commande</w:t>
      </w:r>
      <w:r w:rsidRPr="009F117A">
        <w:rPr>
          <w:rFonts w:asciiTheme="minorHAnsi" w:eastAsiaTheme="minorHAnsi" w:hAnsiTheme="minorHAnsi" w:cstheme="minorBidi"/>
          <w:color w:val="262626" w:themeColor="text1" w:themeShade="80"/>
          <w:sz w:val="20"/>
          <w:szCs w:val="20"/>
        </w:rPr>
        <w:t>.</w:t>
      </w:r>
    </w:p>
    <w:p w14:paraId="0C2477DF" w14:textId="77777777" w:rsidR="00B564D2" w:rsidRPr="009F117A" w:rsidRDefault="00B564D2" w:rsidP="00B564D2">
      <w:pPr>
        <w:pStyle w:val="Sous-titrecyan"/>
        <w:jc w:val="both"/>
        <w:rPr>
          <w:rFonts w:asciiTheme="minorHAnsi" w:eastAsiaTheme="minorHAnsi" w:hAnsiTheme="minorHAnsi" w:cstheme="minorBidi"/>
          <w:color w:val="262626" w:themeColor="text1" w:themeShade="80"/>
          <w:sz w:val="20"/>
          <w:szCs w:val="20"/>
        </w:rPr>
      </w:pPr>
    </w:p>
    <w:p w14:paraId="6E17543D" w14:textId="77777777" w:rsidR="00B564D2" w:rsidRPr="009F117A" w:rsidRDefault="00B564D2" w:rsidP="00B564D2">
      <w:pPr>
        <w:pStyle w:val="Sous-titrecyan"/>
        <w:rPr>
          <w:rFonts w:asciiTheme="minorHAnsi" w:eastAsiaTheme="minorHAnsi" w:hAnsiTheme="minorHAnsi" w:cstheme="minorBidi"/>
          <w:color w:val="262626" w:themeColor="text1" w:themeShade="80"/>
          <w:sz w:val="20"/>
          <w:szCs w:val="20"/>
        </w:rPr>
      </w:pPr>
      <w:bookmarkStart w:id="16" w:name="_Hlk164351876"/>
      <w:r w:rsidRPr="009F117A">
        <w:rPr>
          <w:rFonts w:asciiTheme="minorHAnsi" w:eastAsiaTheme="minorHAnsi" w:hAnsiTheme="minorHAnsi" w:cstheme="minorBidi"/>
          <w:color w:val="262626"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262626" w:themeColor="text1" w:themeShade="80"/>
          <w:sz w:val="20"/>
          <w:szCs w:val="20"/>
        </w:rPr>
        <w:cr/>
      </w:r>
    </w:p>
    <w:p w14:paraId="1007AB23" w14:textId="77777777" w:rsidR="00B564D2" w:rsidRPr="0051705C" w:rsidRDefault="00B564D2" w:rsidP="00B564D2">
      <w:pPr>
        <w:pStyle w:val="Sous-titrecyan"/>
        <w:jc w:val="both"/>
        <w:rPr>
          <w:rFonts w:asciiTheme="minorHAnsi" w:eastAsiaTheme="minorHAnsi" w:hAnsiTheme="minorHAnsi" w:cstheme="minorBidi"/>
          <w:color w:val="262626" w:themeColor="text1" w:themeShade="80"/>
          <w:sz w:val="20"/>
          <w:szCs w:val="20"/>
        </w:rPr>
      </w:pPr>
      <w:r w:rsidRPr="009F117A">
        <w:rPr>
          <w:rFonts w:asciiTheme="minorHAnsi" w:eastAsiaTheme="minorHAnsi" w:hAnsiTheme="minorHAnsi" w:cstheme="minorBidi"/>
          <w:color w:val="262626" w:themeColor="text1" w:themeShade="80"/>
          <w:sz w:val="20"/>
          <w:szCs w:val="20"/>
        </w:rPr>
        <w:t xml:space="preserve">L’exécution des bons de commande ne peut se prolonger au-delà de la date limite de validité du </w:t>
      </w:r>
      <w:r>
        <w:rPr>
          <w:rFonts w:asciiTheme="minorHAnsi" w:eastAsiaTheme="minorHAnsi" w:hAnsiTheme="minorHAnsi" w:cstheme="minorBidi"/>
          <w:color w:val="262626" w:themeColor="text1" w:themeShade="80"/>
          <w:sz w:val="20"/>
          <w:szCs w:val="20"/>
        </w:rPr>
        <w:t>contrat</w:t>
      </w:r>
      <w:r w:rsidRPr="009F117A">
        <w:rPr>
          <w:rFonts w:asciiTheme="minorHAnsi" w:eastAsiaTheme="minorHAnsi" w:hAnsiTheme="minorHAnsi" w:cstheme="minorBidi"/>
          <w:color w:val="262626" w:themeColor="text1" w:themeShade="80"/>
          <w:sz w:val="20"/>
          <w:szCs w:val="20"/>
        </w:rPr>
        <w:t xml:space="preserve"> public, à l’exception des bons de commande émis pendant la validité du marché public en cas d’inachèvement des prestations à la fin du marché public</w:t>
      </w:r>
      <w:r>
        <w:rPr>
          <w:rFonts w:asciiTheme="minorHAnsi" w:eastAsiaTheme="minorHAnsi" w:hAnsiTheme="minorHAnsi" w:cstheme="minorBidi"/>
          <w:color w:val="262626" w:themeColor="text1" w:themeShade="80"/>
          <w:sz w:val="20"/>
          <w:szCs w:val="20"/>
        </w:rPr>
        <w:t xml:space="preserve">, étant précisé que le délai d’exécution ne peut excéder trois </w:t>
      </w:r>
      <w:r w:rsidRPr="00887AA3">
        <w:rPr>
          <w:rFonts w:asciiTheme="minorHAnsi" w:eastAsiaTheme="minorHAnsi" w:hAnsiTheme="minorHAnsi" w:cstheme="minorBidi"/>
          <w:color w:val="262626" w:themeColor="text1" w:themeShade="80"/>
          <w:sz w:val="20"/>
          <w:szCs w:val="20"/>
        </w:rPr>
        <w:t>(3) mois</w:t>
      </w:r>
      <w:r>
        <w:rPr>
          <w:rFonts w:asciiTheme="minorHAnsi" w:eastAsiaTheme="minorHAnsi" w:hAnsiTheme="minorHAnsi" w:cstheme="minorBidi"/>
          <w:color w:val="262626" w:themeColor="text1" w:themeShade="80"/>
          <w:sz w:val="20"/>
          <w:szCs w:val="20"/>
        </w:rPr>
        <w:t xml:space="preserve"> après </w:t>
      </w:r>
      <w:r w:rsidRPr="009F117A">
        <w:rPr>
          <w:rFonts w:asciiTheme="minorHAnsi" w:eastAsiaTheme="minorHAnsi" w:hAnsiTheme="minorHAnsi" w:cstheme="minorBidi"/>
          <w:color w:val="262626" w:themeColor="text1" w:themeShade="80"/>
          <w:sz w:val="20"/>
          <w:szCs w:val="20"/>
        </w:rPr>
        <w:t xml:space="preserve">date limite de validité </w:t>
      </w:r>
      <w:r>
        <w:rPr>
          <w:rFonts w:asciiTheme="minorHAnsi" w:eastAsiaTheme="minorHAnsi" w:hAnsiTheme="minorHAnsi" w:cstheme="minorBidi"/>
          <w:color w:val="262626" w:themeColor="text1" w:themeShade="80"/>
          <w:sz w:val="20"/>
          <w:szCs w:val="20"/>
        </w:rPr>
        <w:t>de validité de l’accord-cadre</w:t>
      </w:r>
      <w:r w:rsidRPr="009F117A">
        <w:rPr>
          <w:rFonts w:asciiTheme="minorHAnsi" w:eastAsiaTheme="minorHAnsi" w:hAnsiTheme="minorHAnsi" w:cstheme="minorBidi"/>
          <w:color w:val="262626" w:themeColor="text1" w:themeShade="80"/>
          <w:sz w:val="20"/>
          <w:szCs w:val="20"/>
        </w:rPr>
        <w:t>.</w:t>
      </w:r>
      <w:bookmarkEnd w:id="16"/>
    </w:p>
    <w:p w14:paraId="70E56F5E" w14:textId="77777777" w:rsidR="001849B3" w:rsidRPr="003E29C0" w:rsidRDefault="001849B3" w:rsidP="003E29C0">
      <w:pPr>
        <w:spacing w:after="0" w:line="240" w:lineRule="auto"/>
        <w:rPr>
          <w:rFonts w:asciiTheme="majorHAnsi" w:eastAsia="Times New Roman" w:hAnsiTheme="majorHAnsi" w:cstheme="majorHAnsi"/>
          <w:color w:val="auto"/>
          <w:sz w:val="20"/>
          <w:szCs w:val="20"/>
          <w:lang w:eastAsia="zh-CN"/>
        </w:rPr>
      </w:pPr>
    </w:p>
    <w:p w14:paraId="51693D6C"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6625F216" w14:textId="77777777" w:rsidR="001849B3" w:rsidRPr="00540EC7" w:rsidRDefault="001849B3" w:rsidP="001849B3">
      <w:pPr>
        <w:jc w:val="both"/>
        <w:rPr>
          <w:rFonts w:asciiTheme="majorHAnsi" w:hAnsiTheme="majorHAnsi" w:cstheme="majorHAnsi"/>
          <w:color w:val="auto"/>
          <w:sz w:val="20"/>
          <w:szCs w:val="20"/>
        </w:rPr>
      </w:pPr>
      <w:r w:rsidRPr="00540EC7">
        <w:rPr>
          <w:rFonts w:asciiTheme="majorHAnsi" w:hAnsiTheme="majorHAnsi" w:cstheme="majorHAnsi"/>
          <w:color w:val="auto"/>
          <w:sz w:val="20"/>
          <w:szCs w:val="20"/>
        </w:rPr>
        <w:t xml:space="preserve">Les prix du marché public sont hors TVA. Il sera appliqué le taux de TVA en vigueur au moment du fait générateur. </w:t>
      </w:r>
    </w:p>
    <w:p w14:paraId="58C5330C" w14:textId="77777777" w:rsidR="001849B3" w:rsidRPr="00540EC7" w:rsidRDefault="001849B3" w:rsidP="001849B3">
      <w:pPr>
        <w:jc w:val="both"/>
        <w:rPr>
          <w:rFonts w:asciiTheme="majorHAnsi" w:hAnsiTheme="majorHAnsi" w:cstheme="majorHAnsi"/>
          <w:color w:val="auto"/>
          <w:sz w:val="20"/>
          <w:szCs w:val="20"/>
        </w:rPr>
      </w:pPr>
      <w:r w:rsidRPr="00540EC7">
        <w:rPr>
          <w:rFonts w:asciiTheme="majorHAnsi" w:hAnsiTheme="majorHAnsi" w:cstheme="majorHAnsi"/>
          <w:color w:val="auto"/>
          <w:sz w:val="20"/>
          <w:szCs w:val="20"/>
        </w:rPr>
        <w:lastRenderedPageBreak/>
        <w:t>Tous les prix donnés dans l'offre sont présentés hors taxes et toutes taxes avec spécification de celles-ci ou de l’exonération de ces taxes le cas échéant.</w:t>
      </w:r>
    </w:p>
    <w:p w14:paraId="20443345" w14:textId="77777777" w:rsidR="001849B3" w:rsidRPr="00540EC7" w:rsidRDefault="001849B3" w:rsidP="001849B3">
      <w:pPr>
        <w:jc w:val="both"/>
        <w:rPr>
          <w:rFonts w:asciiTheme="majorHAnsi" w:hAnsiTheme="majorHAnsi" w:cstheme="majorHAnsi"/>
          <w:color w:val="auto"/>
          <w:sz w:val="20"/>
          <w:szCs w:val="20"/>
        </w:rPr>
      </w:pPr>
      <w:r w:rsidRPr="00540EC7">
        <w:rPr>
          <w:rFonts w:asciiTheme="majorHAnsi" w:hAnsiTheme="majorHAnsi" w:cstheme="majorHAnsi"/>
          <w:color w:val="auto"/>
          <w:sz w:val="20"/>
          <w:szCs w:val="20"/>
        </w:rPr>
        <w:t>Le marché public est conclu en euros.</w:t>
      </w:r>
    </w:p>
    <w:p w14:paraId="736FA4B9" w14:textId="77777777" w:rsidR="001849B3" w:rsidRPr="00540EC7" w:rsidRDefault="001849B3" w:rsidP="001849B3">
      <w:pPr>
        <w:jc w:val="both"/>
        <w:rPr>
          <w:rFonts w:asciiTheme="majorHAnsi" w:hAnsiTheme="majorHAnsi" w:cstheme="majorHAnsi"/>
          <w:color w:val="auto"/>
          <w:sz w:val="20"/>
          <w:szCs w:val="20"/>
        </w:rPr>
      </w:pPr>
      <w:r w:rsidRPr="00540EC7">
        <w:rPr>
          <w:rFonts w:asciiTheme="majorHAnsi" w:hAnsiTheme="majorHAnsi" w:cstheme="majorHAnsi"/>
          <w:color w:val="auto"/>
          <w:sz w:val="20"/>
          <w:szCs w:val="20"/>
        </w:rPr>
        <w:t>Les prestations faisant l'objet du contrat sont réglées par application de prix mixtes comme suit :</w:t>
      </w:r>
    </w:p>
    <w:p w14:paraId="1D0F3210" w14:textId="77777777" w:rsidR="001849B3" w:rsidRPr="00540EC7" w:rsidRDefault="001849B3" w:rsidP="001849B3">
      <w:pPr>
        <w:pStyle w:val="Paragraphedeliste"/>
        <w:numPr>
          <w:ilvl w:val="0"/>
          <w:numId w:val="5"/>
        </w:numPr>
        <w:jc w:val="both"/>
        <w:rPr>
          <w:rFonts w:asciiTheme="majorHAnsi" w:hAnsiTheme="majorHAnsi" w:cstheme="majorHAnsi"/>
          <w:color w:val="auto"/>
          <w:sz w:val="20"/>
          <w:szCs w:val="20"/>
        </w:rPr>
      </w:pPr>
      <w:proofErr w:type="gramStart"/>
      <w:r w:rsidRPr="00540EC7">
        <w:rPr>
          <w:rFonts w:asciiTheme="majorHAnsi" w:hAnsiTheme="majorHAnsi" w:cstheme="majorHAnsi"/>
          <w:color w:val="auto"/>
          <w:sz w:val="20"/>
          <w:szCs w:val="20"/>
        </w:rPr>
        <w:t>des</w:t>
      </w:r>
      <w:proofErr w:type="gramEnd"/>
      <w:r w:rsidRPr="00540EC7">
        <w:rPr>
          <w:rFonts w:asciiTheme="majorHAnsi" w:hAnsiTheme="majorHAnsi" w:cstheme="majorHAnsi"/>
          <w:color w:val="auto"/>
          <w:sz w:val="20"/>
          <w:szCs w:val="20"/>
        </w:rPr>
        <w:t xml:space="preserve"> prix unitaires, dont le montant est donné dans le Bordereau des Prix Unitaires (BPU), appliqués aux quantités réellement exécutées et au prorata </w:t>
      </w:r>
      <w:proofErr w:type="spellStart"/>
      <w:r w:rsidRPr="00540EC7">
        <w:rPr>
          <w:rFonts w:asciiTheme="majorHAnsi" w:hAnsiTheme="majorHAnsi" w:cstheme="majorHAnsi"/>
          <w:color w:val="auto"/>
          <w:sz w:val="20"/>
          <w:szCs w:val="20"/>
        </w:rPr>
        <w:t>temporis</w:t>
      </w:r>
      <w:proofErr w:type="spellEnd"/>
      <w:r w:rsidRPr="00540EC7">
        <w:rPr>
          <w:rFonts w:asciiTheme="majorHAnsi" w:hAnsiTheme="majorHAnsi" w:cstheme="majorHAnsi"/>
          <w:color w:val="auto"/>
          <w:sz w:val="20"/>
          <w:szCs w:val="20"/>
        </w:rPr>
        <w:t xml:space="preserve"> le cas échéant ;</w:t>
      </w:r>
    </w:p>
    <w:p w14:paraId="6B00562B" w14:textId="77777777" w:rsidR="001849B3" w:rsidRPr="00540EC7" w:rsidRDefault="001849B3" w:rsidP="001849B3">
      <w:pPr>
        <w:pStyle w:val="Paragraphedeliste"/>
        <w:numPr>
          <w:ilvl w:val="0"/>
          <w:numId w:val="5"/>
        </w:numPr>
        <w:rPr>
          <w:rFonts w:asciiTheme="majorHAnsi" w:hAnsiTheme="majorHAnsi" w:cstheme="majorHAnsi"/>
          <w:color w:val="auto"/>
          <w:sz w:val="20"/>
          <w:szCs w:val="20"/>
        </w:rPr>
      </w:pPr>
      <w:proofErr w:type="gramStart"/>
      <w:r w:rsidRPr="00540EC7">
        <w:rPr>
          <w:rFonts w:asciiTheme="majorHAnsi" w:hAnsiTheme="majorHAnsi" w:cstheme="majorHAnsi"/>
          <w:color w:val="auto"/>
          <w:sz w:val="20"/>
          <w:szCs w:val="20"/>
        </w:rPr>
        <w:t>des</w:t>
      </w:r>
      <w:proofErr w:type="gramEnd"/>
      <w:r w:rsidRPr="00540EC7">
        <w:rPr>
          <w:rFonts w:asciiTheme="majorHAnsi" w:hAnsiTheme="majorHAnsi" w:cstheme="majorHAnsi"/>
          <w:color w:val="auto"/>
          <w:sz w:val="20"/>
          <w:szCs w:val="20"/>
        </w:rPr>
        <w:t xml:space="preserve"> prix forfaitaires, dont le montant est donné dans la décomposition du prix global et forfaitaire (DPGF).</w:t>
      </w:r>
    </w:p>
    <w:p w14:paraId="77F44C49" w14:textId="35C3CF52" w:rsidR="003E29C0" w:rsidRPr="003E29C0" w:rsidRDefault="001849B3" w:rsidP="001849B3">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Les modalités de variation des prix sont fixées dans le cadre du CCAP</w:t>
      </w:r>
      <w:r>
        <w:rPr>
          <w:rFonts w:asciiTheme="majorHAnsi" w:hAnsiTheme="majorHAnsi" w:cstheme="majorHAnsi"/>
          <w:color w:val="auto"/>
          <w:sz w:val="20"/>
          <w:szCs w:val="20"/>
        </w:rPr>
        <w:t>.</w:t>
      </w:r>
    </w:p>
    <w:p w14:paraId="721F768A"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C138D3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51E0F70" w14:textId="28882DBC" w:rsidR="003E29C0" w:rsidRPr="003E29C0" w:rsidRDefault="00C26471"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Les prestations</w:t>
      </w:r>
      <w:r>
        <w:rPr>
          <w:rStyle w:val="lev"/>
          <w:rFonts w:asciiTheme="majorHAnsi" w:hAnsiTheme="majorHAnsi" w:cstheme="majorHAnsi"/>
          <w:color w:val="auto"/>
          <w:sz w:val="20"/>
          <w:szCs w:val="20"/>
        </w:rPr>
        <w:t xml:space="preserve"> forfaitaires</w:t>
      </w:r>
      <w:r w:rsidRPr="003E29C0">
        <w:rPr>
          <w:rStyle w:val="lev"/>
          <w:rFonts w:asciiTheme="majorHAnsi" w:hAnsiTheme="majorHAnsi" w:cstheme="majorHAnsi"/>
          <w:color w:val="auto"/>
          <w:sz w:val="20"/>
          <w:szCs w:val="20"/>
        </w:rPr>
        <w:t xml:space="preserve"> seront rémunérées selon le montant </w:t>
      </w:r>
      <w:r>
        <w:rPr>
          <w:rStyle w:val="lev"/>
          <w:rFonts w:asciiTheme="majorHAnsi" w:hAnsiTheme="majorHAnsi" w:cstheme="majorHAnsi"/>
          <w:color w:val="auto"/>
          <w:sz w:val="20"/>
          <w:szCs w:val="20"/>
        </w:rPr>
        <w:t xml:space="preserve">indiqué dans la DPGF et repris ci-dessous </w:t>
      </w:r>
      <w:r w:rsidRPr="003E29C0">
        <w:rPr>
          <w:rStyle w:val="lev"/>
          <w:rFonts w:asciiTheme="majorHAnsi" w:hAnsiTheme="majorHAnsi" w:cstheme="majorHAnsi"/>
          <w:color w:val="auto"/>
          <w:sz w:val="20"/>
          <w:szCs w:val="20"/>
        </w:rPr>
        <w:t>:</w:t>
      </w:r>
    </w:p>
    <w:p w14:paraId="7D4310F4" w14:textId="77777777" w:rsidR="003E29C0" w:rsidRPr="003E29C0" w:rsidRDefault="003E29C0" w:rsidP="003E29C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A66E2BC"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10EE559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2256E39E"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EB2C03F"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8154B4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3F665F8"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1405CAE4" w14:textId="77777777" w:rsidTr="00275C29">
        <w:tc>
          <w:tcPr>
            <w:tcW w:w="5670" w:type="dxa"/>
            <w:tcBorders>
              <w:top w:val="single" w:sz="4" w:space="0" w:color="auto"/>
              <w:left w:val="single" w:sz="4" w:space="0" w:color="auto"/>
              <w:bottom w:val="single" w:sz="4" w:space="0" w:color="auto"/>
              <w:right w:val="single" w:sz="12" w:space="0" w:color="auto"/>
            </w:tcBorders>
          </w:tcPr>
          <w:p w14:paraId="0A8612F9"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4928504"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D45378A"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23707124" w14:textId="77777777" w:rsidR="003E29C0" w:rsidRPr="003E29C0" w:rsidRDefault="003E29C0" w:rsidP="003E29C0">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2BB13AE9" w14:textId="198D5F49" w:rsidR="003E29C0" w:rsidRPr="00213501" w:rsidRDefault="00213501" w:rsidP="003E29C0">
      <w:pPr>
        <w:spacing w:line="240" w:lineRule="auto"/>
        <w:ind w:right="-77"/>
        <w:rPr>
          <w:rFonts w:asciiTheme="majorHAnsi" w:hAnsiTheme="majorHAnsi" w:cstheme="majorHAnsi"/>
          <w:b/>
          <w:bCs/>
          <w:color w:val="auto"/>
          <w:sz w:val="20"/>
          <w:szCs w:val="20"/>
        </w:rPr>
      </w:pPr>
      <w:r w:rsidRPr="00213501">
        <w:rPr>
          <w:rFonts w:asciiTheme="majorHAnsi" w:hAnsiTheme="majorHAnsi" w:cstheme="majorHAnsi"/>
          <w:b/>
          <w:bCs/>
          <w:color w:val="auto"/>
          <w:sz w:val="20"/>
          <w:szCs w:val="20"/>
        </w:rPr>
        <w:t xml:space="preserve">Les besoins complémentaires seront commandés via l’émission de bons de commandes. L’accord-cadre est établi sans montant minimum annuel et avec un montant maximum annuel de 217 000 € HT. </w:t>
      </w: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109D2667"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Pr="003E29C0" w:rsidRDefault="003E29C0" w:rsidP="003E29C0">
      <w:pPr>
        <w:pStyle w:val="RedTxt"/>
        <w:rPr>
          <w:rFonts w:asciiTheme="majorHAnsi" w:eastAsia="Calibri" w:hAnsiTheme="majorHAnsi" w:cstheme="majorHAnsi"/>
          <w:bCs/>
          <w:color w:val="auto"/>
          <w:sz w:val="20"/>
          <w:lang w:eastAsia="en-US"/>
        </w:rPr>
      </w:pPr>
    </w:p>
    <w:p w14:paraId="6EC74CB8"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7CD4C8" w14:textId="77777777" w:rsidR="003E29C0" w:rsidRDefault="003E29C0"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5907EDD" w14:textId="77777777" w:rsidR="00952C39" w:rsidRDefault="00952C39"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67141113" w14:textId="77777777" w:rsidR="00952C39" w:rsidRPr="003E29C0" w:rsidRDefault="00952C39"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9FBECD4" w14:textId="6E16F33E" w:rsidR="003E29C0" w:rsidRPr="00A71257" w:rsidRDefault="003E29C0" w:rsidP="003E29C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70B93144"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0BA3FD03"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3E29C0" w:rsidRPr="003E29C0" w:rsidSect="00A71257">
          <w:headerReference w:type="default" r:id="rId11"/>
          <w:footerReference w:type="even" r:id="rId12"/>
          <w:footerReference w:type="default" r:id="rId13"/>
          <w:headerReference w:type="first" r:id="rId14"/>
          <w:footerReference w:type="first" r:id="rId15"/>
          <w:type w:val="oddPage"/>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2D2E009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6"/>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7777777"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ECBF14D" w14:textId="77777777" w:rsidR="003E29C0" w:rsidRPr="003E29C0" w:rsidRDefault="003E29C0" w:rsidP="003E29C0">
      <w:pPr>
        <w:rPr>
          <w:rFonts w:asciiTheme="majorHAnsi" w:eastAsia="Times New Roman" w:hAnsiTheme="majorHAnsi" w:cstheme="majorHAnsi"/>
          <w:sz w:val="20"/>
          <w:szCs w:val="20"/>
        </w:rPr>
      </w:pPr>
    </w:p>
    <w:p w14:paraId="3E9C3AAF" w14:textId="77777777" w:rsidR="003E29C0" w:rsidRPr="003E29C0" w:rsidRDefault="003E29C0" w:rsidP="003E29C0">
      <w:pPr>
        <w:rPr>
          <w:rFonts w:asciiTheme="majorHAnsi" w:eastAsia="Times New Roman" w:hAnsiTheme="majorHAnsi" w:cstheme="majorHAnsi"/>
          <w:sz w:val="20"/>
          <w:szCs w:val="20"/>
        </w:rPr>
      </w:pPr>
    </w:p>
    <w:p w14:paraId="0B87DA94" w14:textId="77777777" w:rsidR="003E29C0" w:rsidRPr="003E29C0" w:rsidRDefault="003E29C0" w:rsidP="003E29C0">
      <w:pPr>
        <w:rPr>
          <w:rFonts w:asciiTheme="majorHAnsi" w:eastAsia="Times New Roman" w:hAnsiTheme="majorHAnsi" w:cstheme="majorHAnsi"/>
          <w:sz w:val="20"/>
          <w:szCs w:val="20"/>
        </w:rPr>
      </w:pPr>
    </w:p>
    <w:p w14:paraId="24CC774D" w14:textId="77777777" w:rsidR="003E29C0" w:rsidRPr="003E29C0" w:rsidRDefault="003E29C0" w:rsidP="003E29C0">
      <w:pPr>
        <w:rPr>
          <w:rFonts w:asciiTheme="majorHAnsi" w:eastAsia="Times New Roman" w:hAnsiTheme="majorHAnsi" w:cstheme="majorHAnsi"/>
          <w:sz w:val="20"/>
          <w:szCs w:val="20"/>
        </w:rPr>
      </w:pPr>
    </w:p>
    <w:p w14:paraId="2DFF9E35" w14:textId="77777777" w:rsidR="003E29C0" w:rsidRPr="003E29C0" w:rsidRDefault="003E29C0" w:rsidP="003E29C0">
      <w:pPr>
        <w:rPr>
          <w:rFonts w:asciiTheme="majorHAnsi" w:eastAsia="Times New Roman" w:hAnsiTheme="majorHAnsi" w:cstheme="majorHAnsi"/>
          <w:sz w:val="20"/>
          <w:szCs w:val="20"/>
        </w:rPr>
      </w:pPr>
    </w:p>
    <w:p w14:paraId="3EF0F934" w14:textId="77777777" w:rsidR="003E29C0" w:rsidRPr="003E29C0" w:rsidRDefault="003E29C0" w:rsidP="003E29C0">
      <w:pPr>
        <w:rPr>
          <w:rFonts w:asciiTheme="majorHAnsi" w:eastAsia="Times New Roman" w:hAnsiTheme="majorHAnsi" w:cstheme="majorHAnsi"/>
          <w:sz w:val="20"/>
          <w:szCs w:val="20"/>
        </w:rPr>
      </w:pPr>
    </w:p>
    <w:p w14:paraId="0694F91F" w14:textId="45EDD16D" w:rsidR="003E29C0" w:rsidRDefault="003E29C0" w:rsidP="003E29C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sectPr w:rsidR="003E29C0" w:rsidSect="003E29C0">
      <w:headerReference w:type="default" r:id="rId17"/>
      <w:footerReference w:type="default" r:id="rId18"/>
      <w:headerReference w:type="first" r:id="rId19"/>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29188" w14:textId="77777777" w:rsidR="003E29C0" w:rsidRDefault="003E29C0"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605DC2F" w14:textId="77777777" w:rsidR="003E29C0" w:rsidRDefault="003E29C0"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6D0F2"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AA8C30"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FD0D0B9"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8E42764"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3C80D89" w14:textId="77777777" w:rsidR="003E29C0" w:rsidRPr="00324013" w:rsidRDefault="003E29C0"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sidR="00D74033">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CBBEAF3" w14:textId="77777777" w:rsidR="003E29C0" w:rsidRDefault="003E29C0"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C557" w14:textId="77777777" w:rsidR="003E29C0" w:rsidRPr="00895818" w:rsidRDefault="003E29C0" w:rsidP="003E29C0">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D74033">
      <w:rPr>
        <w:rStyle w:val="Numrodepage"/>
        <w:rFonts w:ascii="Arial" w:hAnsi="Arial" w:cs="Arial"/>
        <w:noProof/>
        <w:color w:val="8B8B8B" w:themeColor="text1" w:themeTint="A6"/>
        <w:sz w:val="18"/>
        <w:szCs w:val="18"/>
      </w:rPr>
      <w:t>8</w:t>
    </w:r>
    <w:r w:rsidRPr="00895818">
      <w:rPr>
        <w:rStyle w:val="Numrodepage"/>
        <w:rFonts w:ascii="Arial" w:hAnsi="Arial" w:cs="Arial"/>
        <w:color w:val="8B8B8B" w:themeColor="text1" w:themeTint="A6"/>
        <w:sz w:val="18"/>
        <w:szCs w:val="18"/>
      </w:rPr>
      <w:fldChar w:fldCharType="end"/>
    </w:r>
  </w:p>
  <w:p w14:paraId="559D8F56" w14:textId="77777777" w:rsidR="003E29C0" w:rsidRDefault="003E29C0"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93B00" w14:textId="09D05C94" w:rsidR="00A71257" w:rsidRDefault="00A71257">
    <w:pPr>
      <w:pStyle w:val="En-tte"/>
    </w:pPr>
    <w:r w:rsidRPr="00852580">
      <w:rPr>
        <w:caps/>
        <w:noProof/>
        <w:sz w:val="66"/>
        <w:szCs w:val="66"/>
        <w:lang w:eastAsia="fr-FR"/>
      </w:rPr>
      <w:drawing>
        <wp:anchor distT="0" distB="0" distL="114300" distR="114300" simplePos="0" relativeHeight="251671552" behindDoc="1" locked="1" layoutInCell="1" allowOverlap="1" wp14:anchorId="197C4779" wp14:editId="4E0851E0">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8B0D" w14:textId="697C1E9D" w:rsidR="003E29C0" w:rsidRDefault="003E29C0" w:rsidP="00F13839">
    <w:pPr>
      <w:pStyle w:val="En-tte"/>
      <w:ind w:left="-426"/>
    </w:pPr>
    <w:r w:rsidRPr="00852580">
      <w:rPr>
        <w:caps/>
        <w:noProof/>
        <w:sz w:val="66"/>
        <w:szCs w:val="66"/>
        <w:lang w:eastAsia="fr-FR"/>
      </w:rPr>
      <w:drawing>
        <wp:anchor distT="0" distB="0" distL="114300" distR="114300" simplePos="0" relativeHeight="251667456" behindDoc="1" locked="1" layoutInCell="1" allowOverlap="1" wp14:anchorId="59AF56E8" wp14:editId="3A34EB4E">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7A61F6E" w14:textId="1B33DBD7" w:rsidR="003E29C0" w:rsidRDefault="003E29C0"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abstractNum w:abstractNumId="3" w15:restartNumberingAfterBreak="0">
    <w:nsid w:val="65B52AF8"/>
    <w:multiLevelType w:val="hybridMultilevel"/>
    <w:tmpl w:val="0A607372"/>
    <w:lvl w:ilvl="0" w:tplc="039CEBB4">
      <w:start w:val="3"/>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3206AA1"/>
    <w:multiLevelType w:val="hybridMultilevel"/>
    <w:tmpl w:val="C5F0147A"/>
    <w:lvl w:ilvl="0" w:tplc="69A8B88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9816361">
    <w:abstractNumId w:val="2"/>
  </w:num>
  <w:num w:numId="2" w16cid:durableId="744883781">
    <w:abstractNumId w:val="0"/>
  </w:num>
  <w:num w:numId="3" w16cid:durableId="663359334">
    <w:abstractNumId w:val="3"/>
  </w:num>
  <w:num w:numId="4" w16cid:durableId="1443575824">
    <w:abstractNumId w:val="1"/>
  </w:num>
  <w:num w:numId="5" w16cid:durableId="51463879">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46E54"/>
    <w:rsid w:val="00051D9A"/>
    <w:rsid w:val="00060F6E"/>
    <w:rsid w:val="00070C60"/>
    <w:rsid w:val="00075329"/>
    <w:rsid w:val="000830FD"/>
    <w:rsid w:val="0009196F"/>
    <w:rsid w:val="000A0DBC"/>
    <w:rsid w:val="000E79DF"/>
    <w:rsid w:val="001439A6"/>
    <w:rsid w:val="001467F2"/>
    <w:rsid w:val="001849B3"/>
    <w:rsid w:val="001C73A7"/>
    <w:rsid w:val="001E5B0F"/>
    <w:rsid w:val="001F3E18"/>
    <w:rsid w:val="00201BDF"/>
    <w:rsid w:val="002130CD"/>
    <w:rsid w:val="0021335B"/>
    <w:rsid w:val="00213501"/>
    <w:rsid w:val="00216D5E"/>
    <w:rsid w:val="002433FC"/>
    <w:rsid w:val="00261C1D"/>
    <w:rsid w:val="002734B3"/>
    <w:rsid w:val="00277778"/>
    <w:rsid w:val="002A4C69"/>
    <w:rsid w:val="002C6146"/>
    <w:rsid w:val="002E7FC2"/>
    <w:rsid w:val="003019F5"/>
    <w:rsid w:val="0036338C"/>
    <w:rsid w:val="00391B97"/>
    <w:rsid w:val="003A3E35"/>
    <w:rsid w:val="003B0777"/>
    <w:rsid w:val="003B1205"/>
    <w:rsid w:val="003B671A"/>
    <w:rsid w:val="003C5764"/>
    <w:rsid w:val="003E29C0"/>
    <w:rsid w:val="003E2BBC"/>
    <w:rsid w:val="00425E47"/>
    <w:rsid w:val="004275DA"/>
    <w:rsid w:val="00431B0F"/>
    <w:rsid w:val="00443274"/>
    <w:rsid w:val="00444320"/>
    <w:rsid w:val="00456A64"/>
    <w:rsid w:val="004821A1"/>
    <w:rsid w:val="004F2B93"/>
    <w:rsid w:val="005110ED"/>
    <w:rsid w:val="00512D7D"/>
    <w:rsid w:val="00524973"/>
    <w:rsid w:val="0053305D"/>
    <w:rsid w:val="00534325"/>
    <w:rsid w:val="005407ED"/>
    <w:rsid w:val="005B07F4"/>
    <w:rsid w:val="005E6C72"/>
    <w:rsid w:val="005F492B"/>
    <w:rsid w:val="0062754D"/>
    <w:rsid w:val="00627BD7"/>
    <w:rsid w:val="00643FCD"/>
    <w:rsid w:val="00644F16"/>
    <w:rsid w:val="006C2FB9"/>
    <w:rsid w:val="006C3C9C"/>
    <w:rsid w:val="006D0EA1"/>
    <w:rsid w:val="006E20DD"/>
    <w:rsid w:val="00720CFF"/>
    <w:rsid w:val="00725CE2"/>
    <w:rsid w:val="00752F76"/>
    <w:rsid w:val="0075543A"/>
    <w:rsid w:val="007565BE"/>
    <w:rsid w:val="00765BEB"/>
    <w:rsid w:val="00772044"/>
    <w:rsid w:val="007F62BE"/>
    <w:rsid w:val="00807159"/>
    <w:rsid w:val="00812F12"/>
    <w:rsid w:val="00821D4E"/>
    <w:rsid w:val="00850617"/>
    <w:rsid w:val="00852580"/>
    <w:rsid w:val="008762F8"/>
    <w:rsid w:val="008769E8"/>
    <w:rsid w:val="00882674"/>
    <w:rsid w:val="00895818"/>
    <w:rsid w:val="0090390D"/>
    <w:rsid w:val="00952C39"/>
    <w:rsid w:val="00952CC2"/>
    <w:rsid w:val="009E6430"/>
    <w:rsid w:val="00A06A92"/>
    <w:rsid w:val="00A34087"/>
    <w:rsid w:val="00A57397"/>
    <w:rsid w:val="00A71257"/>
    <w:rsid w:val="00A71718"/>
    <w:rsid w:val="00A82AF6"/>
    <w:rsid w:val="00A86C5D"/>
    <w:rsid w:val="00AC694E"/>
    <w:rsid w:val="00AD7B64"/>
    <w:rsid w:val="00AF24AC"/>
    <w:rsid w:val="00B24790"/>
    <w:rsid w:val="00B37FF9"/>
    <w:rsid w:val="00B40FE6"/>
    <w:rsid w:val="00B564D2"/>
    <w:rsid w:val="00B833C1"/>
    <w:rsid w:val="00B93CEE"/>
    <w:rsid w:val="00B94DD0"/>
    <w:rsid w:val="00BB2BE1"/>
    <w:rsid w:val="00BB6D73"/>
    <w:rsid w:val="00C00358"/>
    <w:rsid w:val="00C0242D"/>
    <w:rsid w:val="00C17FEA"/>
    <w:rsid w:val="00C26471"/>
    <w:rsid w:val="00C314B7"/>
    <w:rsid w:val="00C571F7"/>
    <w:rsid w:val="00C75017"/>
    <w:rsid w:val="00C77A10"/>
    <w:rsid w:val="00C92B47"/>
    <w:rsid w:val="00C93BCB"/>
    <w:rsid w:val="00CA3BF8"/>
    <w:rsid w:val="00CB36D4"/>
    <w:rsid w:val="00CD6F16"/>
    <w:rsid w:val="00CE5BDE"/>
    <w:rsid w:val="00CF018D"/>
    <w:rsid w:val="00CF4C17"/>
    <w:rsid w:val="00CF503B"/>
    <w:rsid w:val="00D157EF"/>
    <w:rsid w:val="00D173FE"/>
    <w:rsid w:val="00D5128A"/>
    <w:rsid w:val="00D74033"/>
    <w:rsid w:val="00D81052"/>
    <w:rsid w:val="00DA0873"/>
    <w:rsid w:val="00DD40A5"/>
    <w:rsid w:val="00DE58B8"/>
    <w:rsid w:val="00E6615D"/>
    <w:rsid w:val="00E71CC4"/>
    <w:rsid w:val="00ED2DA9"/>
    <w:rsid w:val="00EF681F"/>
    <w:rsid w:val="00F41CC5"/>
    <w:rsid w:val="00F445EC"/>
    <w:rsid w:val="00F51C49"/>
    <w:rsid w:val="00F613B8"/>
    <w:rsid w:val="00F65326"/>
    <w:rsid w:val="00F828AE"/>
    <w:rsid w:val="00F8488B"/>
    <w:rsid w:val="00F96DBE"/>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aliases w:val="Puce 1er niveau"/>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semiHidden/>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semiHidden/>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3.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2.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customXml/itemProps3.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36</TotalTime>
  <Pages>11</Pages>
  <Words>1917</Words>
  <Characters>10549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14</cp:revision>
  <cp:lastPrinted>2020-04-28T13:30:00Z</cp:lastPrinted>
  <dcterms:created xsi:type="dcterms:W3CDTF">2020-05-28T11:17:00Z</dcterms:created>
  <dcterms:modified xsi:type="dcterms:W3CDTF">2025-08-11T13:23:00Z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